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Using Zoning to Address Climate Risks in South Portland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highlighted in One Climate Future, coastal flooding is projected to impact key areas of South Portland’s waterfront, while high heat and stormwater flooding have citywide impacts.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Coastal Area Overlay Zoning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Coastal Flooding</w:t>
        <w:br w:type="textWrapping"/>
        <w:t xml:space="preserve">Sea level rise and increasingly intense or frequent storms will result in coastal flooding at high tides and from storm surges.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Zoning can require new development to elevate ground floors and critical systems in above set Design Flood Elevations (DFEs) and limit the types of uses exposed to flood risk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Whole City Standards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High Heat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 the coming decades, South Portland is expected to experience more frequent high heat events that last longer, posing new concerns for public health.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Zoning can require new development to increase cooling capacity by requiring new construction use more reflective exterior materials and provide shading, tree cover, and green spaces.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Stormwater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More intense or frequent storms will create runoff that exceeds the capacity of drainage systems, contributing to local flooding and combined sewer overflows.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Zoning can require new development to reduce inland flood risk by increasing green space and other pervious surfaces, and adding additional stormwater retention and treatment capacity.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